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C80C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>DELEGATED TO OFFICERS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19B1498E" w14:textId="77777777" w:rsidR="00B87695" w:rsidRDefault="00B87695" w:rsidP="00BE1FD4">
      <w:pPr>
        <w:rPr>
          <w:rFonts w:ascii="Arial" w:hAnsi="Arial" w:cs="Arial"/>
          <w:b/>
        </w:rPr>
      </w:pPr>
    </w:p>
    <w:p w14:paraId="0AC5F4B3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415"/>
        <w:gridCol w:w="7509"/>
      </w:tblGrid>
      <w:tr w:rsidR="006F6326" w14:paraId="6CD49A05" w14:textId="77777777" w:rsidTr="47B6217D">
        <w:tc>
          <w:tcPr>
            <w:tcW w:w="2415" w:type="dxa"/>
          </w:tcPr>
          <w:p w14:paraId="67492E06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09" w:type="dxa"/>
          </w:tcPr>
          <w:p w14:paraId="6D90950B" w14:textId="1176A4D6" w:rsidR="00B87695" w:rsidRDefault="4FF60873" w:rsidP="00960744">
            <w:pPr>
              <w:rPr>
                <w:rFonts w:ascii="Arial" w:hAnsi="Arial" w:cs="Arial"/>
              </w:rPr>
            </w:pPr>
            <w:r w:rsidRPr="47B6217D">
              <w:rPr>
                <w:rFonts w:ascii="Arial" w:hAnsi="Arial" w:cs="Arial"/>
              </w:rPr>
              <w:t xml:space="preserve">Feasibility study </w:t>
            </w:r>
            <w:r w:rsidR="00235D8E">
              <w:rPr>
                <w:rFonts w:ascii="Arial" w:hAnsi="Arial" w:cs="Arial"/>
              </w:rPr>
              <w:t>into</w:t>
            </w:r>
            <w:r w:rsidR="587725C5" w:rsidRPr="47B6217D">
              <w:rPr>
                <w:rFonts w:ascii="Arial" w:hAnsi="Arial" w:cs="Arial"/>
              </w:rPr>
              <w:t xml:space="preserve"> funding options to manage</w:t>
            </w:r>
            <w:r w:rsidR="00235D8E">
              <w:rPr>
                <w:rFonts w:ascii="Arial" w:hAnsi="Arial" w:cs="Arial"/>
              </w:rPr>
              <w:t xml:space="preserve"> the</w:t>
            </w:r>
            <w:r w:rsidR="587725C5" w:rsidRPr="47B6217D">
              <w:rPr>
                <w:rFonts w:ascii="Arial" w:hAnsi="Arial" w:cs="Arial"/>
              </w:rPr>
              <w:t xml:space="preserve"> impact of Oxford’s </w:t>
            </w:r>
            <w:r w:rsidR="6D13EA78" w:rsidRPr="47B6217D">
              <w:rPr>
                <w:rFonts w:ascii="Arial" w:hAnsi="Arial" w:cs="Arial"/>
              </w:rPr>
              <w:t>visitor economy</w:t>
            </w:r>
          </w:p>
          <w:p w14:paraId="7D778274" w14:textId="71DAAFA1" w:rsidR="00235D8E" w:rsidRPr="00A96C08" w:rsidRDefault="00235D8E" w:rsidP="00960744">
            <w:pPr>
              <w:rPr>
                <w:rFonts w:ascii="Arial" w:hAnsi="Arial" w:cs="Arial"/>
              </w:rPr>
            </w:pPr>
          </w:p>
        </w:tc>
      </w:tr>
      <w:tr w:rsidR="006F6326" w14:paraId="26C632E8" w14:textId="77777777" w:rsidTr="00235D8E">
        <w:tc>
          <w:tcPr>
            <w:tcW w:w="2415" w:type="dxa"/>
          </w:tcPr>
          <w:p w14:paraId="332591A7" w14:textId="77777777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7509" w:type="dxa"/>
            <w:shd w:val="clear" w:color="auto" w:fill="FFFFFF" w:themeFill="background1"/>
            <w:vAlign w:val="center"/>
          </w:tcPr>
          <w:p w14:paraId="4351736F" w14:textId="09DEEA63" w:rsidR="00263039" w:rsidRPr="00A96C08" w:rsidRDefault="7BD5C38E" w:rsidP="47B6217D">
            <w:pPr>
              <w:rPr>
                <w:rFonts w:ascii="Arial" w:hAnsi="Arial" w:cs="Arial"/>
              </w:rPr>
            </w:pPr>
            <w:r w:rsidRPr="47B6217D">
              <w:rPr>
                <w:rFonts w:ascii="Arial" w:hAnsi="Arial" w:cs="Arial"/>
              </w:rPr>
              <w:t>2</w:t>
            </w:r>
            <w:r w:rsidR="0D6903D5" w:rsidRPr="47B6217D">
              <w:rPr>
                <w:rFonts w:ascii="Arial" w:hAnsi="Arial" w:cs="Arial"/>
              </w:rPr>
              <w:t>4</w:t>
            </w:r>
            <w:r w:rsidR="3CE85E60" w:rsidRPr="47B6217D">
              <w:rPr>
                <w:rFonts w:ascii="Arial" w:hAnsi="Arial" w:cs="Arial"/>
              </w:rPr>
              <w:t xml:space="preserve"> July</w:t>
            </w:r>
            <w:r w:rsidRPr="47B6217D">
              <w:rPr>
                <w:rFonts w:ascii="Arial" w:hAnsi="Arial" w:cs="Arial"/>
              </w:rPr>
              <w:t xml:space="preserve"> 2024</w:t>
            </w:r>
          </w:p>
        </w:tc>
      </w:tr>
      <w:tr w:rsidR="00854133" w14:paraId="04735F6D" w14:textId="77777777" w:rsidTr="47B6217D">
        <w:tc>
          <w:tcPr>
            <w:tcW w:w="2415" w:type="dxa"/>
          </w:tcPr>
          <w:p w14:paraId="1C9BAFFF" w14:textId="05D4DBC0" w:rsidR="00854133" w:rsidRPr="00854133" w:rsidRDefault="00854133" w:rsidP="002611EB">
            <w:pPr>
              <w:spacing w:before="120" w:after="120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  <w:b/>
                <w:bCs/>
              </w:rPr>
              <w:t>Source of delegation:</w:t>
            </w:r>
          </w:p>
        </w:tc>
        <w:tc>
          <w:tcPr>
            <w:tcW w:w="7509" w:type="dxa"/>
          </w:tcPr>
          <w:p w14:paraId="723C40AD" w14:textId="77777777" w:rsidR="00E97024" w:rsidRDefault="37FA3DAA" w:rsidP="00235D8E">
            <w:pPr>
              <w:rPr>
                <w:rFonts w:ascii="Arial" w:eastAsia="Arial" w:hAnsi="Arial" w:cs="Arial"/>
              </w:rPr>
            </w:pPr>
            <w:r w:rsidRPr="47B6217D">
              <w:rPr>
                <w:rFonts w:ascii="Arial" w:eastAsia="Arial" w:hAnsi="Arial" w:cs="Arial"/>
              </w:rPr>
              <w:t>This decision was delegated to officers under Part 4.4 of the Council’s Constitution: all executive functions except those in Part 4.5, 4.6 and 4.7 are delegated to the officers in the senior management structure.</w:t>
            </w:r>
          </w:p>
          <w:p w14:paraId="1BBB8894" w14:textId="5D99D990" w:rsidR="00235D8E" w:rsidRPr="00E20A54" w:rsidRDefault="00235D8E" w:rsidP="46FF6472">
            <w:pPr>
              <w:spacing w:line="259" w:lineRule="auto"/>
            </w:pPr>
          </w:p>
        </w:tc>
      </w:tr>
      <w:tr w:rsidR="00B87695" w14:paraId="13FCD5D5" w14:textId="77777777" w:rsidTr="47B6217D">
        <w:tc>
          <w:tcPr>
            <w:tcW w:w="2415" w:type="dxa"/>
          </w:tcPr>
          <w:p w14:paraId="59207AEA" w14:textId="0C6CA607" w:rsidR="003B1236" w:rsidRPr="00B87695" w:rsidRDefault="00854133" w:rsidP="46FF6472">
            <w:pPr>
              <w:spacing w:before="120" w:after="120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  <w:b/>
                <w:bCs/>
              </w:rPr>
              <w:t xml:space="preserve">What decision was made? </w:t>
            </w:r>
          </w:p>
        </w:tc>
        <w:tc>
          <w:tcPr>
            <w:tcW w:w="7509" w:type="dxa"/>
          </w:tcPr>
          <w:p w14:paraId="08B0E263" w14:textId="286194BE" w:rsidR="006247C4" w:rsidRDefault="791BFAC1" w:rsidP="7999E747">
            <w:pPr>
              <w:rPr>
                <w:rFonts w:ascii="Arial" w:hAnsi="Arial" w:cs="Arial"/>
              </w:rPr>
            </w:pPr>
            <w:r w:rsidRPr="62525D3D">
              <w:rPr>
                <w:rFonts w:ascii="Arial" w:hAnsi="Arial" w:cs="Arial"/>
              </w:rPr>
              <w:t>To spend</w:t>
            </w:r>
            <w:r w:rsidR="00DA7829" w:rsidRPr="62525D3D">
              <w:rPr>
                <w:rFonts w:ascii="Arial" w:hAnsi="Arial" w:cs="Arial"/>
              </w:rPr>
              <w:t xml:space="preserve"> £10,000 to </w:t>
            </w:r>
            <w:r w:rsidR="2056D01B" w:rsidRPr="62525D3D">
              <w:rPr>
                <w:rFonts w:ascii="Arial" w:hAnsi="Arial" w:cs="Arial"/>
              </w:rPr>
              <w:t xml:space="preserve">commission a feasibility study </w:t>
            </w:r>
            <w:r w:rsidR="00DA7829" w:rsidRPr="62525D3D">
              <w:rPr>
                <w:rFonts w:ascii="Arial" w:hAnsi="Arial" w:cs="Arial"/>
              </w:rPr>
              <w:t>into an Accommodation Business Improvement District (ABID)</w:t>
            </w:r>
            <w:r w:rsidR="3BFA22F9" w:rsidRPr="62525D3D">
              <w:rPr>
                <w:rFonts w:ascii="Arial" w:hAnsi="Arial" w:cs="Arial"/>
              </w:rPr>
              <w:t xml:space="preserve">, to be undertaken by consultants </w:t>
            </w:r>
            <w:r w:rsidR="28BB8A79" w:rsidRPr="62525D3D">
              <w:rPr>
                <w:rFonts w:ascii="Arial" w:hAnsi="Arial" w:cs="Arial"/>
              </w:rPr>
              <w:t xml:space="preserve">The </w:t>
            </w:r>
            <w:r w:rsidR="3BFA22F9" w:rsidRPr="62525D3D">
              <w:rPr>
                <w:rFonts w:ascii="Arial" w:hAnsi="Arial" w:cs="Arial"/>
              </w:rPr>
              <w:t>Mosaic</w:t>
            </w:r>
            <w:r w:rsidR="3377FED2" w:rsidRPr="62525D3D">
              <w:rPr>
                <w:rFonts w:ascii="Arial" w:hAnsi="Arial" w:cs="Arial"/>
              </w:rPr>
              <w:t xml:space="preserve"> Partnership.</w:t>
            </w:r>
          </w:p>
          <w:p w14:paraId="4E184430" w14:textId="5EB2B404" w:rsidR="00235D8E" w:rsidRPr="00A96C08" w:rsidRDefault="00235D8E" w:rsidP="7999E7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373F5D" w14:paraId="0BCBBD06" w14:textId="77777777" w:rsidTr="47B6217D">
        <w:tc>
          <w:tcPr>
            <w:tcW w:w="2415" w:type="dxa"/>
          </w:tcPr>
          <w:p w14:paraId="65A41189" w14:textId="356E99B4" w:rsidR="00373F5D" w:rsidRPr="00373F5D" w:rsidRDefault="00373F5D" w:rsidP="00C678ED">
            <w:pPr>
              <w:spacing w:before="120" w:after="120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  <w:b/>
                <w:bCs/>
              </w:rPr>
              <w:t xml:space="preserve">Purpose: </w:t>
            </w:r>
          </w:p>
        </w:tc>
        <w:tc>
          <w:tcPr>
            <w:tcW w:w="7509" w:type="dxa"/>
          </w:tcPr>
          <w:p w14:paraId="45CAF321" w14:textId="13B4AFEC" w:rsidR="00960744" w:rsidRDefault="001B4C67" w:rsidP="62525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decision will allow the production of a</w:t>
            </w:r>
            <w:r w:rsidR="00CF55FD" w:rsidRPr="7C8B284F">
              <w:rPr>
                <w:rFonts w:ascii="Arial" w:hAnsi="Arial" w:cs="Arial"/>
              </w:rPr>
              <w:t xml:space="preserve"> feasibility report</w:t>
            </w:r>
            <w:r w:rsidR="3544080D" w:rsidRPr="7C8B284F">
              <w:rPr>
                <w:rFonts w:ascii="Arial" w:hAnsi="Arial" w:cs="Arial"/>
              </w:rPr>
              <w:t xml:space="preserve"> </w:t>
            </w:r>
            <w:r w:rsidR="00CF55FD" w:rsidRPr="7C8B284F">
              <w:rPr>
                <w:rFonts w:ascii="Arial" w:hAnsi="Arial" w:cs="Arial"/>
              </w:rPr>
              <w:t>to</w:t>
            </w:r>
            <w:r w:rsidR="00F50587" w:rsidRPr="7C8B284F">
              <w:rPr>
                <w:rFonts w:ascii="Arial" w:hAnsi="Arial" w:cs="Arial"/>
              </w:rPr>
              <w:t xml:space="preserve"> </w:t>
            </w:r>
            <w:r w:rsidR="00CF55FD" w:rsidRPr="7C8B284F">
              <w:rPr>
                <w:rFonts w:ascii="Arial" w:hAnsi="Arial" w:cs="Arial"/>
              </w:rPr>
              <w:t>prove</w:t>
            </w:r>
            <w:r w:rsidR="29014048" w:rsidRPr="7C8B284F">
              <w:rPr>
                <w:rFonts w:ascii="Arial" w:hAnsi="Arial" w:cs="Arial"/>
              </w:rPr>
              <w:t xml:space="preserve"> the</w:t>
            </w:r>
            <w:r w:rsidR="00CF55FD" w:rsidRPr="7C8B284F">
              <w:rPr>
                <w:rFonts w:ascii="Arial" w:hAnsi="Arial" w:cs="Arial"/>
              </w:rPr>
              <w:t xml:space="preserve"> concept</w:t>
            </w:r>
            <w:r w:rsidR="2C0A247D" w:rsidRPr="7C8B284F">
              <w:rPr>
                <w:rFonts w:ascii="Arial" w:hAnsi="Arial" w:cs="Arial"/>
              </w:rPr>
              <w:t>,</w:t>
            </w:r>
            <w:r w:rsidR="00CF55FD" w:rsidRPr="7C8B284F">
              <w:rPr>
                <w:rFonts w:ascii="Arial" w:hAnsi="Arial" w:cs="Arial"/>
              </w:rPr>
              <w:t xml:space="preserve"> seek interes</w:t>
            </w:r>
            <w:r w:rsidR="7E050187" w:rsidRPr="7C8B284F">
              <w:rPr>
                <w:rFonts w:ascii="Arial" w:hAnsi="Arial" w:cs="Arial"/>
              </w:rPr>
              <w:t>t</w:t>
            </w:r>
            <w:r w:rsidR="51068153" w:rsidRPr="7C8B284F">
              <w:rPr>
                <w:rFonts w:ascii="Arial" w:hAnsi="Arial" w:cs="Arial"/>
              </w:rPr>
              <w:t xml:space="preserve"> and assist in the decision</w:t>
            </w:r>
            <w:r>
              <w:rPr>
                <w:rFonts w:ascii="Arial" w:hAnsi="Arial" w:cs="Arial"/>
              </w:rPr>
              <w:t xml:space="preserve"> as to</w:t>
            </w:r>
            <w:r w:rsidR="51068153" w:rsidRPr="7C8B284F">
              <w:rPr>
                <w:rFonts w:ascii="Arial" w:hAnsi="Arial" w:cs="Arial"/>
              </w:rPr>
              <w:t xml:space="preserve"> whether to progress with an ABID</w:t>
            </w:r>
            <w:r w:rsidR="1AA23A76" w:rsidRPr="7C8B284F">
              <w:rPr>
                <w:rFonts w:ascii="Arial" w:hAnsi="Arial" w:cs="Arial"/>
              </w:rPr>
              <w:t xml:space="preserve"> in Oxford</w:t>
            </w:r>
            <w:r w:rsidR="51068153" w:rsidRPr="7C8B284F">
              <w:rPr>
                <w:rFonts w:ascii="Arial" w:hAnsi="Arial" w:cs="Arial"/>
              </w:rPr>
              <w:t>.</w:t>
            </w:r>
            <w:r w:rsidR="4D8BAE2C" w:rsidRPr="7C8B284F">
              <w:rPr>
                <w:rFonts w:ascii="Arial" w:hAnsi="Arial" w:cs="Arial"/>
              </w:rPr>
              <w:t xml:space="preserve"> If an ABID is created, it would be a route to locally fund some city centre management and destination management functions in an equitable way.</w:t>
            </w:r>
          </w:p>
          <w:p w14:paraId="6241A7B5" w14:textId="429413DE" w:rsidR="00235D8E" w:rsidRPr="00A96C08" w:rsidRDefault="00235D8E" w:rsidP="62525D3D">
            <w:pPr>
              <w:rPr>
                <w:rFonts w:ascii="Arial" w:hAnsi="Arial" w:cs="Arial"/>
              </w:rPr>
            </w:pPr>
          </w:p>
        </w:tc>
      </w:tr>
      <w:tr w:rsidR="00DC2E8D" w14:paraId="263454AC" w14:textId="77777777" w:rsidTr="47B6217D">
        <w:tc>
          <w:tcPr>
            <w:tcW w:w="2415" w:type="dxa"/>
          </w:tcPr>
          <w:p w14:paraId="221F42BC" w14:textId="2BA2909B" w:rsidR="00DC2E8D" w:rsidRPr="008E4629" w:rsidRDefault="008E4629" w:rsidP="00C678ED">
            <w:pPr>
              <w:spacing w:before="120" w:after="120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  <w:b/>
                <w:bCs/>
              </w:rPr>
              <w:t>R</w:t>
            </w:r>
            <w:r w:rsidR="00DC2E8D" w:rsidRPr="46FF6472">
              <w:rPr>
                <w:rFonts w:ascii="Arial" w:hAnsi="Arial" w:cs="Arial"/>
                <w:b/>
                <w:bCs/>
              </w:rPr>
              <w:t xml:space="preserve">easons: </w:t>
            </w:r>
          </w:p>
        </w:tc>
        <w:tc>
          <w:tcPr>
            <w:tcW w:w="7509" w:type="dxa"/>
          </w:tcPr>
          <w:p w14:paraId="05C41E99" w14:textId="00CE513E" w:rsidR="0026249C" w:rsidRPr="00832856" w:rsidRDefault="5A26E778" w:rsidP="00832856">
            <w:pPr>
              <w:pStyle w:val="ListParagraph"/>
              <w:numPr>
                <w:ilvl w:val="0"/>
                <w:numId w:val="8"/>
              </w:numPr>
              <w:ind w:left="464" w:hanging="448"/>
              <w:rPr>
                <w:rFonts w:ascii="Arial" w:hAnsi="Arial" w:cs="Arial"/>
              </w:rPr>
            </w:pPr>
            <w:r w:rsidRPr="00832856">
              <w:rPr>
                <w:rFonts w:ascii="Arial" w:hAnsi="Arial" w:cs="Arial"/>
              </w:rPr>
              <w:t>The study offers a p</w:t>
            </w:r>
            <w:r w:rsidR="0026249C" w:rsidRPr="00832856">
              <w:rPr>
                <w:rFonts w:ascii="Arial" w:hAnsi="Arial" w:cs="Arial"/>
              </w:rPr>
              <w:t xml:space="preserve">lausible route to secure </w:t>
            </w:r>
            <w:r w:rsidR="3C1C1154" w:rsidRPr="00832856">
              <w:rPr>
                <w:rFonts w:ascii="Arial" w:hAnsi="Arial" w:cs="Arial"/>
              </w:rPr>
              <w:t>significant</w:t>
            </w:r>
            <w:r w:rsidR="0026249C" w:rsidRPr="00832856">
              <w:rPr>
                <w:rFonts w:ascii="Arial" w:hAnsi="Arial" w:cs="Arial"/>
              </w:rPr>
              <w:t xml:space="preserve"> annual income stream for city improvements. It would increase available income for city centre improvements.</w:t>
            </w:r>
          </w:p>
          <w:p w14:paraId="300195DA" w14:textId="77777777" w:rsidR="006C187A" w:rsidRDefault="006C187A" w:rsidP="00832856">
            <w:pPr>
              <w:ind w:left="464" w:hanging="448"/>
              <w:rPr>
                <w:rFonts w:ascii="Arial" w:hAnsi="Arial" w:cs="Arial"/>
              </w:rPr>
            </w:pPr>
          </w:p>
          <w:p w14:paraId="4FD69644" w14:textId="48E71E7A" w:rsidR="0026249C" w:rsidRPr="00832856" w:rsidRDefault="65277BC3" w:rsidP="00832856">
            <w:pPr>
              <w:pStyle w:val="ListParagraph"/>
              <w:numPr>
                <w:ilvl w:val="0"/>
                <w:numId w:val="8"/>
              </w:numPr>
              <w:ind w:left="464" w:hanging="448"/>
              <w:rPr>
                <w:rFonts w:ascii="Arial" w:hAnsi="Arial" w:cs="Arial"/>
              </w:rPr>
            </w:pPr>
            <w:r w:rsidRPr="00832856">
              <w:rPr>
                <w:rFonts w:ascii="Arial" w:hAnsi="Arial" w:cs="Arial"/>
              </w:rPr>
              <w:t xml:space="preserve">Limited </w:t>
            </w:r>
            <w:r w:rsidR="0026249C" w:rsidRPr="00832856">
              <w:rPr>
                <w:rFonts w:ascii="Arial" w:hAnsi="Arial" w:cs="Arial"/>
              </w:rPr>
              <w:t xml:space="preserve">financial burden on any business, </w:t>
            </w:r>
            <w:r w:rsidR="698C7115" w:rsidRPr="00832856">
              <w:rPr>
                <w:rFonts w:ascii="Arial" w:hAnsi="Arial" w:cs="Arial"/>
              </w:rPr>
              <w:t>as it is</w:t>
            </w:r>
            <w:r w:rsidR="0026249C" w:rsidRPr="00832856">
              <w:rPr>
                <w:rFonts w:ascii="Arial" w:hAnsi="Arial" w:cs="Arial"/>
              </w:rPr>
              <w:t xml:space="preserve"> a nominal charge</w:t>
            </w:r>
            <w:r w:rsidR="427C333B" w:rsidRPr="00832856">
              <w:rPr>
                <w:rFonts w:ascii="Arial" w:hAnsi="Arial" w:cs="Arial"/>
              </w:rPr>
              <w:t xml:space="preserve"> which can be</w:t>
            </w:r>
            <w:r w:rsidR="0026249C" w:rsidRPr="00832856">
              <w:rPr>
                <w:rFonts w:ascii="Arial" w:hAnsi="Arial" w:cs="Arial"/>
              </w:rPr>
              <w:t xml:space="preserve"> passed on to customers, many of whom are used to a tax in Europe.</w:t>
            </w:r>
          </w:p>
          <w:p w14:paraId="3308AF0C" w14:textId="77777777" w:rsidR="006C187A" w:rsidRDefault="006C187A" w:rsidP="00832856">
            <w:pPr>
              <w:ind w:left="464" w:hanging="448"/>
              <w:rPr>
                <w:rFonts w:ascii="Arial" w:hAnsi="Arial" w:cs="Arial"/>
              </w:rPr>
            </w:pPr>
          </w:p>
          <w:p w14:paraId="7C7FA569" w14:textId="1A695A99" w:rsidR="00757726" w:rsidRPr="00832856" w:rsidRDefault="0026249C" w:rsidP="00832856">
            <w:pPr>
              <w:pStyle w:val="ListParagraph"/>
              <w:numPr>
                <w:ilvl w:val="0"/>
                <w:numId w:val="8"/>
              </w:numPr>
              <w:ind w:left="464" w:hanging="448"/>
              <w:rPr>
                <w:rFonts w:ascii="Arial" w:hAnsi="Arial" w:cs="Arial"/>
              </w:rPr>
            </w:pPr>
            <w:r w:rsidRPr="00832856">
              <w:rPr>
                <w:rFonts w:ascii="Arial" w:hAnsi="Arial" w:cs="Arial"/>
              </w:rPr>
              <w:t>Improve the city centre by providing additional services</w:t>
            </w:r>
            <w:r w:rsidR="00462289">
              <w:rPr>
                <w:rFonts w:ascii="Arial" w:hAnsi="Arial" w:cs="Arial"/>
              </w:rPr>
              <w:t>.</w:t>
            </w:r>
            <w:r w:rsidRPr="00832856">
              <w:rPr>
                <w:rFonts w:ascii="Arial" w:hAnsi="Arial" w:cs="Arial"/>
              </w:rPr>
              <w:t xml:space="preserve"> </w:t>
            </w:r>
          </w:p>
          <w:p w14:paraId="48FABA42" w14:textId="77777777" w:rsidR="006C187A" w:rsidRDefault="006C187A" w:rsidP="00832856">
            <w:pPr>
              <w:ind w:left="464" w:hanging="448"/>
              <w:rPr>
                <w:rFonts w:ascii="Arial" w:hAnsi="Arial" w:cs="Arial"/>
              </w:rPr>
            </w:pPr>
          </w:p>
          <w:p w14:paraId="02D87D83" w14:textId="03AABFBD" w:rsidR="00757726" w:rsidRPr="00832856" w:rsidRDefault="0026249C" w:rsidP="00832856">
            <w:pPr>
              <w:pStyle w:val="ListParagraph"/>
              <w:numPr>
                <w:ilvl w:val="0"/>
                <w:numId w:val="8"/>
              </w:numPr>
              <w:ind w:left="464" w:hanging="448"/>
              <w:rPr>
                <w:rFonts w:ascii="Arial" w:hAnsi="Arial" w:cs="Arial"/>
              </w:rPr>
            </w:pPr>
            <w:r w:rsidRPr="00832856">
              <w:rPr>
                <w:rFonts w:ascii="Arial" w:hAnsi="Arial" w:cs="Arial"/>
              </w:rPr>
              <w:t>Can deliver elements of the City Centre Action Plan</w:t>
            </w:r>
            <w:r w:rsidR="506849A2" w:rsidRPr="00832856">
              <w:rPr>
                <w:rFonts w:ascii="Arial" w:hAnsi="Arial" w:cs="Arial"/>
              </w:rPr>
              <w:t>, Destination Management Plan</w:t>
            </w:r>
            <w:r w:rsidRPr="00832856">
              <w:rPr>
                <w:rFonts w:ascii="Arial" w:hAnsi="Arial" w:cs="Arial"/>
              </w:rPr>
              <w:t xml:space="preserve"> and can </w:t>
            </w:r>
            <w:r w:rsidR="54441DF3" w:rsidRPr="00832856">
              <w:rPr>
                <w:rFonts w:ascii="Arial" w:hAnsi="Arial" w:cs="Arial"/>
              </w:rPr>
              <w:t xml:space="preserve">create a better experience for </w:t>
            </w:r>
            <w:r w:rsidR="13E8AD58" w:rsidRPr="00832856">
              <w:rPr>
                <w:rFonts w:ascii="Arial" w:hAnsi="Arial" w:cs="Arial"/>
              </w:rPr>
              <w:t xml:space="preserve">visitors </w:t>
            </w:r>
            <w:r w:rsidR="54441DF3" w:rsidRPr="00832856">
              <w:rPr>
                <w:rFonts w:ascii="Arial" w:hAnsi="Arial" w:cs="Arial"/>
              </w:rPr>
              <w:t>and residents</w:t>
            </w:r>
            <w:r w:rsidR="1B6E83ED" w:rsidRPr="00832856">
              <w:rPr>
                <w:rFonts w:ascii="Arial" w:hAnsi="Arial" w:cs="Arial"/>
              </w:rPr>
              <w:t>.</w:t>
            </w:r>
          </w:p>
          <w:p w14:paraId="103239B0" w14:textId="71DBBCB9" w:rsidR="00832856" w:rsidRDefault="00832856" w:rsidP="00832856">
            <w:pPr>
              <w:ind w:left="464" w:hanging="448"/>
              <w:rPr>
                <w:rFonts w:ascii="Arial" w:hAnsi="Arial" w:cs="Arial"/>
              </w:rPr>
            </w:pPr>
          </w:p>
          <w:p w14:paraId="6488A34E" w14:textId="5EB58DE9" w:rsidR="00832856" w:rsidRPr="00832856" w:rsidRDefault="00832856" w:rsidP="00832856">
            <w:pPr>
              <w:pStyle w:val="ListParagraph"/>
              <w:numPr>
                <w:ilvl w:val="0"/>
                <w:numId w:val="8"/>
              </w:numPr>
              <w:ind w:left="464" w:hanging="448"/>
              <w:rPr>
                <w:rFonts w:ascii="Arial" w:hAnsi="Arial" w:cs="Arial"/>
              </w:rPr>
            </w:pPr>
            <w:r w:rsidRPr="00832856">
              <w:rPr>
                <w:rFonts w:ascii="Arial" w:hAnsi="Arial" w:cs="Arial"/>
              </w:rPr>
              <w:t>Bids were invited from multiple suppliers and after evaluation, The Mosaic Partnership bid offered the best value for money for the Council.</w:t>
            </w:r>
          </w:p>
          <w:p w14:paraId="244FD893" w14:textId="55C85E5A" w:rsidR="006C187A" w:rsidRPr="00A96C08" w:rsidRDefault="006C187A" w:rsidP="0026249C">
            <w:pPr>
              <w:rPr>
                <w:rFonts w:ascii="Arial" w:hAnsi="Arial" w:cs="Arial"/>
              </w:rPr>
            </w:pPr>
          </w:p>
        </w:tc>
      </w:tr>
      <w:tr w:rsidR="00B87695" w14:paraId="27D64D72" w14:textId="77777777" w:rsidTr="47B6217D">
        <w:tc>
          <w:tcPr>
            <w:tcW w:w="2415" w:type="dxa"/>
          </w:tcPr>
          <w:p w14:paraId="40A11916" w14:textId="7EB11D0F" w:rsidR="00B87695" w:rsidRPr="00B87695" w:rsidRDefault="00B87695" w:rsidP="00C678ED">
            <w:pPr>
              <w:spacing w:before="120" w:after="120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  <w:b/>
                <w:bCs/>
              </w:rPr>
              <w:t>Decision made by:</w:t>
            </w:r>
          </w:p>
        </w:tc>
        <w:tc>
          <w:tcPr>
            <w:tcW w:w="7509" w:type="dxa"/>
          </w:tcPr>
          <w:p w14:paraId="7F4C2938" w14:textId="39DD04E4" w:rsidR="00E97024" w:rsidRPr="00A96C08" w:rsidRDefault="51DB8DA2" w:rsidP="77C68B25">
            <w:pPr>
              <w:spacing w:line="259" w:lineRule="auto"/>
              <w:rPr>
                <w:rFonts w:ascii="Arial" w:hAnsi="Arial" w:cs="Arial"/>
              </w:rPr>
            </w:pPr>
            <w:r w:rsidRPr="1C714817">
              <w:rPr>
                <w:rFonts w:ascii="Arial" w:hAnsi="Arial" w:cs="Arial"/>
              </w:rPr>
              <w:t>Carolyn Ploszynski, Head of Regeneration &amp; Economy</w:t>
            </w:r>
          </w:p>
        </w:tc>
      </w:tr>
      <w:tr w:rsidR="006F6326" w14:paraId="4EFCBFC5" w14:textId="77777777" w:rsidTr="47B6217D">
        <w:tc>
          <w:tcPr>
            <w:tcW w:w="2415" w:type="dxa"/>
          </w:tcPr>
          <w:p w14:paraId="6365CAE1" w14:textId="4988BA8A" w:rsidR="006F6326" w:rsidRDefault="006F6326" w:rsidP="00E270E5">
            <w:pPr>
              <w:spacing w:before="120" w:after="120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  <w:b/>
                <w:bCs/>
              </w:rPr>
              <w:t>Other options</w:t>
            </w:r>
            <w:r w:rsidR="00C6130E" w:rsidRPr="46FF6472">
              <w:rPr>
                <w:rFonts w:ascii="Arial" w:hAnsi="Arial" w:cs="Arial"/>
                <w:b/>
                <w:bCs/>
              </w:rPr>
              <w:t xml:space="preserve"> </w:t>
            </w:r>
            <w:r w:rsidRPr="46FF6472">
              <w:rPr>
                <w:rFonts w:ascii="Arial" w:hAnsi="Arial" w:cs="Arial"/>
                <w:b/>
                <w:bCs/>
              </w:rPr>
              <w:t>considered</w:t>
            </w:r>
            <w:r w:rsidR="00AC5899" w:rsidRPr="46FF6472">
              <w:rPr>
                <w:rFonts w:ascii="Arial" w:hAnsi="Arial" w:cs="Arial"/>
                <w:b/>
                <w:bCs/>
              </w:rPr>
              <w:t>:</w:t>
            </w:r>
            <w:r w:rsidRPr="46FF647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09" w:type="dxa"/>
          </w:tcPr>
          <w:p w14:paraId="0ACA2AB9" w14:textId="07A8782C" w:rsidR="00263039" w:rsidRDefault="71AB4656" w:rsidP="001F0B13">
            <w:pPr>
              <w:rPr>
                <w:rFonts w:ascii="Arial" w:hAnsi="Arial" w:cs="Arial"/>
              </w:rPr>
            </w:pPr>
            <w:r w:rsidRPr="3AB64DF5">
              <w:rPr>
                <w:rFonts w:ascii="Arial" w:hAnsi="Arial" w:cs="Arial"/>
              </w:rPr>
              <w:t>An alternative supplier was considered but was not the preferred supplier</w:t>
            </w:r>
            <w:r w:rsidR="006C187A">
              <w:rPr>
                <w:rFonts w:ascii="Arial" w:hAnsi="Arial" w:cs="Arial"/>
              </w:rPr>
              <w:t>.  This was</w:t>
            </w:r>
            <w:r w:rsidRPr="3AB64DF5">
              <w:rPr>
                <w:rFonts w:ascii="Arial" w:hAnsi="Arial" w:cs="Arial"/>
              </w:rPr>
              <w:t xml:space="preserve"> because for the same cost they would not have delivered comparable quantity of outputs or provided as much flex</w:t>
            </w:r>
            <w:r w:rsidR="093C07BD" w:rsidRPr="3AB64DF5">
              <w:rPr>
                <w:rFonts w:ascii="Arial" w:hAnsi="Arial" w:cs="Arial"/>
              </w:rPr>
              <w:t>ibility of process for the Council.</w:t>
            </w:r>
            <w:r w:rsidR="001F0B13" w:rsidRPr="3AB64DF5">
              <w:rPr>
                <w:rFonts w:ascii="Arial" w:hAnsi="Arial" w:cs="Arial"/>
              </w:rPr>
              <w:t xml:space="preserve"> </w:t>
            </w:r>
          </w:p>
          <w:p w14:paraId="532509FB" w14:textId="7A1B77A7" w:rsidR="006C187A" w:rsidRPr="00A96C08" w:rsidRDefault="006C187A" w:rsidP="001F0B13">
            <w:pPr>
              <w:rPr>
                <w:rFonts w:ascii="Arial" w:hAnsi="Arial" w:cs="Arial"/>
              </w:rPr>
            </w:pPr>
          </w:p>
        </w:tc>
      </w:tr>
      <w:tr w:rsidR="006F6326" w14:paraId="39DB41DB" w14:textId="77777777" w:rsidTr="47B6217D">
        <w:trPr>
          <w:trHeight w:val="1018"/>
        </w:trPr>
        <w:tc>
          <w:tcPr>
            <w:tcW w:w="2415" w:type="dxa"/>
          </w:tcPr>
          <w:p w14:paraId="5155BD62" w14:textId="57EC9BE4" w:rsidR="00C678ED" w:rsidRPr="00C678ED" w:rsidRDefault="006F6326" w:rsidP="00231385">
            <w:pPr>
              <w:spacing w:before="120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  <w:b/>
                <w:bCs/>
              </w:rPr>
              <w:t>Documents considered</w:t>
            </w:r>
            <w:r w:rsidR="00AC5899" w:rsidRPr="46FF6472">
              <w:rPr>
                <w:rFonts w:ascii="Arial" w:hAnsi="Arial" w:cs="Arial"/>
                <w:b/>
                <w:bCs/>
              </w:rPr>
              <w:t>:</w:t>
            </w:r>
            <w:r w:rsidRPr="46FF6472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7509" w:type="dxa"/>
          </w:tcPr>
          <w:p w14:paraId="3FF04FDF" w14:textId="77777777" w:rsidR="006F6326" w:rsidRDefault="006F6326" w:rsidP="008A22C6">
            <w:pPr>
              <w:rPr>
                <w:rFonts w:ascii="Arial" w:hAnsi="Arial" w:cs="Arial"/>
              </w:rPr>
            </w:pPr>
          </w:p>
          <w:p w14:paraId="614F4A1E" w14:textId="16273B52" w:rsidR="006C187A" w:rsidRPr="00A96C08" w:rsidRDefault="006C187A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F6326" w14:paraId="3C71CC8E" w14:textId="77777777" w:rsidTr="47B6217D">
        <w:tc>
          <w:tcPr>
            <w:tcW w:w="2415" w:type="dxa"/>
          </w:tcPr>
          <w:p w14:paraId="2B7A4A0C" w14:textId="64E73C32" w:rsidR="003505E0" w:rsidRDefault="003505E0" w:rsidP="46FF6472">
            <w:pPr>
              <w:spacing w:before="120" w:after="120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  <w:b/>
                <w:bCs/>
              </w:rPr>
              <w:lastRenderedPageBreak/>
              <w:t>Key or Not Key</w:t>
            </w:r>
            <w:r w:rsidR="00AC5899" w:rsidRPr="46FF647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09" w:type="dxa"/>
          </w:tcPr>
          <w:p w14:paraId="0D777FE3" w14:textId="0C0880E9" w:rsidR="006F6326" w:rsidRPr="00A96C08" w:rsidRDefault="26B64AAD" w:rsidP="004F1C8F">
            <w:pPr>
              <w:spacing w:line="259" w:lineRule="auto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</w:rPr>
              <w:t>Not key</w:t>
            </w:r>
          </w:p>
        </w:tc>
      </w:tr>
      <w:tr w:rsidR="006F6326" w14:paraId="3ED9A374" w14:textId="77777777" w:rsidTr="47B6217D">
        <w:tc>
          <w:tcPr>
            <w:tcW w:w="2415" w:type="dxa"/>
          </w:tcPr>
          <w:p w14:paraId="74C13A0D" w14:textId="6C6E5AB3" w:rsidR="006F6326" w:rsidRPr="008E4629" w:rsidRDefault="006F6326" w:rsidP="003B1236">
            <w:pPr>
              <w:spacing w:before="120" w:after="120"/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  <w:b/>
                <w:bCs/>
              </w:rPr>
              <w:t xml:space="preserve">Wards </w:t>
            </w:r>
            <w:r w:rsidR="002B53D4" w:rsidRPr="46FF6472">
              <w:rPr>
                <w:rFonts w:ascii="Arial" w:hAnsi="Arial" w:cs="Arial"/>
                <w:b/>
                <w:bCs/>
              </w:rPr>
              <w:t xml:space="preserve">significantly </w:t>
            </w:r>
            <w:r w:rsidRPr="46FF6472">
              <w:rPr>
                <w:rFonts w:ascii="Arial" w:hAnsi="Arial" w:cs="Arial"/>
                <w:b/>
                <w:bCs/>
              </w:rPr>
              <w:t>affected</w:t>
            </w:r>
            <w:r w:rsidR="00B87695" w:rsidRPr="46FF6472">
              <w:rPr>
                <w:rFonts w:ascii="Arial" w:hAnsi="Arial" w:cs="Arial"/>
                <w:b/>
                <w:bCs/>
              </w:rPr>
              <w:t>:</w:t>
            </w:r>
            <w:r w:rsidR="008E4629" w:rsidRPr="46FF64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09" w:type="dxa"/>
          </w:tcPr>
          <w:p w14:paraId="33DCF617" w14:textId="4F9B9ABD" w:rsidR="006F6326" w:rsidRPr="00A96C08" w:rsidRDefault="0923633D" w:rsidP="008A22C6">
            <w:pPr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</w:rPr>
              <w:t>N</w:t>
            </w:r>
            <w:r w:rsidR="01EDF258" w:rsidRPr="46FF6472">
              <w:rPr>
                <w:rFonts w:ascii="Arial" w:hAnsi="Arial" w:cs="Arial"/>
              </w:rPr>
              <w:t>one</w:t>
            </w:r>
          </w:p>
        </w:tc>
      </w:tr>
      <w:tr w:rsidR="006F6326" w14:paraId="13C66C55" w14:textId="77777777" w:rsidTr="47B6217D">
        <w:tc>
          <w:tcPr>
            <w:tcW w:w="2415" w:type="dxa"/>
          </w:tcPr>
          <w:p w14:paraId="3E605D7A" w14:textId="2302A0F3" w:rsidR="006F6326" w:rsidRPr="006F6326" w:rsidRDefault="006F6326" w:rsidP="46FF64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46FF6472">
              <w:rPr>
                <w:rFonts w:ascii="Arial" w:hAnsi="Arial" w:cs="Arial"/>
                <w:b/>
                <w:bCs/>
              </w:rPr>
              <w:t>Declared conflict of interest</w:t>
            </w:r>
            <w:r w:rsidR="003B1236" w:rsidRPr="46FF647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09" w:type="dxa"/>
          </w:tcPr>
          <w:p w14:paraId="11EEDDFA" w14:textId="7B1C3D3D" w:rsidR="006F6326" w:rsidRPr="00A96C08" w:rsidRDefault="58CFAD9E" w:rsidP="008A22C6">
            <w:pPr>
              <w:rPr>
                <w:rFonts w:ascii="Arial" w:hAnsi="Arial" w:cs="Arial"/>
              </w:rPr>
            </w:pPr>
            <w:r w:rsidRPr="46FF6472">
              <w:rPr>
                <w:rFonts w:ascii="Arial" w:hAnsi="Arial" w:cs="Arial"/>
              </w:rPr>
              <w:t>None</w:t>
            </w:r>
          </w:p>
        </w:tc>
      </w:tr>
      <w:tr w:rsidR="00B87695" w14:paraId="45423411" w14:textId="77777777" w:rsidTr="47B6217D">
        <w:tc>
          <w:tcPr>
            <w:tcW w:w="2415" w:type="dxa"/>
          </w:tcPr>
          <w:p w14:paraId="280BB93B" w14:textId="5772ABCD" w:rsidR="003505E0" w:rsidRDefault="003505E0" w:rsidP="46FF64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46FF6472">
              <w:rPr>
                <w:rFonts w:ascii="Arial" w:hAnsi="Arial" w:cs="Arial"/>
                <w:b/>
                <w:bCs/>
              </w:rPr>
              <w:t>This form was completed by</w:t>
            </w:r>
            <w:r w:rsidR="614EC5AC" w:rsidRPr="46FF647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09" w:type="dxa"/>
          </w:tcPr>
          <w:p w14:paraId="28E57BBA" w14:textId="77777777" w:rsidR="006C187A" w:rsidRDefault="0608BD46" w:rsidP="46FF6472">
            <w:pPr>
              <w:rPr>
                <w:rFonts w:ascii="Arial" w:hAnsi="Arial" w:cs="Arial"/>
              </w:rPr>
            </w:pPr>
            <w:r w:rsidRPr="3AB64DF5">
              <w:rPr>
                <w:rFonts w:ascii="Arial" w:hAnsi="Arial" w:cs="Arial"/>
              </w:rPr>
              <w:t>Diana Fawcett</w:t>
            </w:r>
          </w:p>
          <w:p w14:paraId="72B2BACC" w14:textId="179421E8" w:rsidR="00960744" w:rsidRPr="00A96C08" w:rsidRDefault="40A572B5" w:rsidP="46FF6472">
            <w:pPr>
              <w:rPr>
                <w:rFonts w:ascii="Arial" w:hAnsi="Arial" w:cs="Arial"/>
              </w:rPr>
            </w:pPr>
            <w:r w:rsidRPr="3AB64DF5">
              <w:rPr>
                <w:rFonts w:ascii="Arial" w:hAnsi="Arial" w:cs="Arial"/>
              </w:rPr>
              <w:t>City Centre Manager</w:t>
            </w:r>
          </w:p>
          <w:p w14:paraId="64CDC66D" w14:textId="77616D8B" w:rsidR="00960744" w:rsidRPr="00A96C08" w:rsidRDefault="6821B473" w:rsidP="3AB64DF5">
            <w:pPr>
              <w:spacing w:line="259" w:lineRule="auto"/>
            </w:pPr>
            <w:r w:rsidRPr="3AB64DF5">
              <w:rPr>
                <w:rFonts w:ascii="Arial" w:hAnsi="Arial" w:cs="Arial"/>
              </w:rPr>
              <w:t>17 July 2024</w:t>
            </w:r>
          </w:p>
        </w:tc>
      </w:tr>
    </w:tbl>
    <w:p w14:paraId="441A44CB" w14:textId="2C502C93" w:rsidR="005C60B2" w:rsidRDefault="005C60B2" w:rsidP="46FF6472"/>
    <w:p w14:paraId="3ECDEC06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7CE47892" w14:textId="77777777" w:rsidR="005C60B2" w:rsidRPr="005C60B2" w:rsidRDefault="005C60B2" w:rsidP="005C60B2">
      <w:pPr>
        <w:rPr>
          <w:rFonts w:ascii="Arial" w:hAnsi="Arial" w:cs="Arial"/>
          <w:b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5103"/>
        <w:gridCol w:w="1984"/>
      </w:tblGrid>
      <w:tr w:rsidR="005C60B2" w:rsidRPr="005C60B2" w14:paraId="4EFCDECE" w14:textId="77777777" w:rsidTr="3AB64DF5">
        <w:trPr>
          <w:trHeight w:val="516"/>
        </w:trPr>
        <w:tc>
          <w:tcPr>
            <w:tcW w:w="2836" w:type="dxa"/>
          </w:tcPr>
          <w:p w14:paraId="63F2636F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5103" w:type="dxa"/>
            <w:vAlign w:val="center"/>
          </w:tcPr>
          <w:p w14:paraId="64DD96D4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23F0265F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56CA1D52" w14:textId="77777777" w:rsidTr="3AB64DF5">
        <w:trPr>
          <w:trHeight w:val="516"/>
        </w:trPr>
        <w:tc>
          <w:tcPr>
            <w:tcW w:w="2836" w:type="dxa"/>
            <w:vAlign w:val="center"/>
          </w:tcPr>
          <w:p w14:paraId="4FC5ADA1" w14:textId="14BAC644" w:rsidR="005C60B2" w:rsidRPr="005C60B2" w:rsidRDefault="005C60B2" w:rsidP="1C71481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1C714817">
              <w:rPr>
                <w:rFonts w:ascii="Arial" w:hAnsi="Arial" w:cs="Arial"/>
                <w:b/>
                <w:bCs/>
              </w:rPr>
              <w:t xml:space="preserve">Decision maker </w:t>
            </w:r>
          </w:p>
        </w:tc>
        <w:tc>
          <w:tcPr>
            <w:tcW w:w="5103" w:type="dxa"/>
            <w:vAlign w:val="center"/>
          </w:tcPr>
          <w:p w14:paraId="1BA34EBD" w14:textId="77777777" w:rsidR="005C60B2" w:rsidRDefault="59356453" w:rsidP="005C60B2">
            <w:pPr>
              <w:rPr>
                <w:rFonts w:ascii="Arial" w:hAnsi="Arial" w:cs="Arial"/>
              </w:rPr>
            </w:pPr>
            <w:r w:rsidRPr="79ACAAC0">
              <w:rPr>
                <w:rFonts w:ascii="Arial" w:hAnsi="Arial" w:cs="Arial"/>
              </w:rPr>
              <w:t>Carolyn Ploszynski, Head of Regeneration &amp; Economy</w:t>
            </w:r>
          </w:p>
          <w:p w14:paraId="08579D9C" w14:textId="77777777" w:rsidR="00292638" w:rsidRDefault="00292638" w:rsidP="005C60B2">
            <w:pPr>
              <w:rPr>
                <w:rFonts w:ascii="Arial" w:hAnsi="Arial" w:cs="Arial"/>
              </w:rPr>
            </w:pPr>
          </w:p>
          <w:p w14:paraId="6DA2D25A" w14:textId="4888F0C1" w:rsidR="00292638" w:rsidRPr="005C60B2" w:rsidRDefault="00292638" w:rsidP="005C60B2">
            <w:pPr>
              <w:rPr>
                <w:rFonts w:ascii="Arial" w:hAnsi="Arial" w:cs="Arial"/>
              </w:rPr>
            </w:pPr>
            <w:r w:rsidRPr="0061253E">
              <w:rPr>
                <w:noProof/>
              </w:rPr>
              <w:drawing>
                <wp:inline distT="0" distB="0" distL="0" distR="0" wp14:anchorId="488904B7" wp14:editId="4B86A9D6">
                  <wp:extent cx="1729105" cy="491490"/>
                  <wp:effectExtent l="0" t="0" r="4445" b="3810"/>
                  <wp:docPr id="9" name="Picture 9" descr="Signature Carolyn Ploszyn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 Carolyn Ploszyn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1A6CB0DF" w14:textId="6B91924D" w:rsidR="005C60B2" w:rsidRPr="005C60B2" w:rsidRDefault="41ADD7E5" w:rsidP="3AB64DF5">
            <w:pPr>
              <w:spacing w:line="259" w:lineRule="auto"/>
            </w:pPr>
            <w:r w:rsidRPr="3AB64DF5">
              <w:rPr>
                <w:rFonts w:ascii="Arial" w:hAnsi="Arial" w:cs="Arial"/>
              </w:rPr>
              <w:t>2</w:t>
            </w:r>
            <w:r w:rsidR="00462289">
              <w:rPr>
                <w:rFonts w:ascii="Arial" w:hAnsi="Arial" w:cs="Arial"/>
              </w:rPr>
              <w:t>3</w:t>
            </w:r>
            <w:r w:rsidRPr="3AB64DF5">
              <w:rPr>
                <w:rFonts w:ascii="Arial" w:hAnsi="Arial" w:cs="Arial"/>
              </w:rPr>
              <w:t xml:space="preserve"> July 2024</w:t>
            </w:r>
          </w:p>
        </w:tc>
      </w:tr>
    </w:tbl>
    <w:p w14:paraId="22D3C97A" w14:textId="77777777" w:rsidR="005C60B2" w:rsidRPr="005C60B2" w:rsidRDefault="005C60B2" w:rsidP="005C60B2">
      <w:pPr>
        <w:rPr>
          <w:rFonts w:ascii="Arial" w:hAnsi="Arial" w:cs="Arial"/>
        </w:rPr>
      </w:pPr>
    </w:p>
    <w:p w14:paraId="31E51C5F" w14:textId="77777777" w:rsidR="005C60B2" w:rsidRPr="005C60B2" w:rsidRDefault="005C60B2" w:rsidP="005C60B2">
      <w:pPr>
        <w:rPr>
          <w:rFonts w:ascii="Arial" w:hAnsi="Arial" w:cs="Arial"/>
          <w:b/>
        </w:rPr>
      </w:pPr>
      <w:r w:rsidRPr="005C60B2">
        <w:rPr>
          <w:rFonts w:ascii="Arial" w:hAnsi="Arial" w:cs="Arial"/>
          <w:b/>
        </w:rPr>
        <w:t>Consultee checklist</w:t>
      </w:r>
    </w:p>
    <w:p w14:paraId="3D7E3431" w14:textId="77777777" w:rsidR="005C60B2" w:rsidRPr="005C60B2" w:rsidRDefault="005C60B2" w:rsidP="005C60B2">
      <w:pPr>
        <w:rPr>
          <w:rFonts w:ascii="Arial" w:hAnsi="Arial" w:cs="Arial"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2850"/>
        <w:gridCol w:w="5089"/>
        <w:gridCol w:w="1984"/>
      </w:tblGrid>
      <w:tr w:rsidR="005C60B2" w:rsidRPr="005C60B2" w14:paraId="249BAF70" w14:textId="77777777" w:rsidTr="47B6217D">
        <w:trPr>
          <w:trHeight w:val="516"/>
        </w:trPr>
        <w:tc>
          <w:tcPr>
            <w:tcW w:w="2850" w:type="dxa"/>
          </w:tcPr>
          <w:p w14:paraId="2DA500D0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Consultees</w:t>
            </w:r>
          </w:p>
        </w:tc>
        <w:tc>
          <w:tcPr>
            <w:tcW w:w="5089" w:type="dxa"/>
            <w:vAlign w:val="center"/>
          </w:tcPr>
          <w:p w14:paraId="2E1CEA34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2651A109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7CC47D64" w14:textId="77777777" w:rsidTr="47B6217D">
        <w:trPr>
          <w:trHeight w:val="562"/>
        </w:trPr>
        <w:tc>
          <w:tcPr>
            <w:tcW w:w="2850" w:type="dxa"/>
            <w:vAlign w:val="center"/>
          </w:tcPr>
          <w:p w14:paraId="5E0A1B8E" w14:textId="6C1E36F6" w:rsidR="005C60B2" w:rsidRPr="005C60B2" w:rsidRDefault="005C60B2" w:rsidP="46FF64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46FF6472">
              <w:rPr>
                <w:rFonts w:ascii="Arial" w:hAnsi="Arial" w:cs="Arial"/>
                <w:b/>
                <w:bCs/>
              </w:rPr>
              <w:t>Cabinet Member</w:t>
            </w:r>
          </w:p>
        </w:tc>
        <w:tc>
          <w:tcPr>
            <w:tcW w:w="5089" w:type="dxa"/>
            <w:vAlign w:val="center"/>
          </w:tcPr>
          <w:p w14:paraId="44D00E9F" w14:textId="708DF84B" w:rsidR="005C60B2" w:rsidRPr="005C60B2" w:rsidRDefault="289B7263" w:rsidP="1C714817">
            <w:pPr>
              <w:rPr>
                <w:rFonts w:ascii="Arial" w:hAnsi="Arial" w:cs="Arial"/>
              </w:rPr>
            </w:pPr>
            <w:r w:rsidRPr="1C714817">
              <w:rPr>
                <w:rFonts w:ascii="Arial" w:hAnsi="Arial" w:cs="Arial"/>
              </w:rPr>
              <w:t>C</w:t>
            </w:r>
            <w:r w:rsidR="00292638">
              <w:rPr>
                <w:rFonts w:ascii="Arial" w:hAnsi="Arial" w:cs="Arial"/>
              </w:rPr>
              <w:t>ounci</w:t>
            </w:r>
            <w:r w:rsidRPr="1C714817">
              <w:rPr>
                <w:rFonts w:ascii="Arial" w:hAnsi="Arial" w:cs="Arial"/>
              </w:rPr>
              <w:t>ll</w:t>
            </w:r>
            <w:r w:rsidR="00292638">
              <w:rPr>
                <w:rFonts w:ascii="Arial" w:hAnsi="Arial" w:cs="Arial"/>
              </w:rPr>
              <w:t>o</w:t>
            </w:r>
            <w:r w:rsidRPr="1C714817">
              <w:rPr>
                <w:rFonts w:ascii="Arial" w:hAnsi="Arial" w:cs="Arial"/>
              </w:rPr>
              <w:t xml:space="preserve">r </w:t>
            </w:r>
            <w:r w:rsidR="5DB25C7B" w:rsidRPr="1C714817">
              <w:rPr>
                <w:rFonts w:ascii="Arial" w:hAnsi="Arial" w:cs="Arial"/>
              </w:rPr>
              <w:t>Alex Hollingsworth, Cabinet</w:t>
            </w:r>
            <w:r w:rsidR="00E444D3">
              <w:rPr>
                <w:rFonts w:ascii="Arial" w:hAnsi="Arial" w:cs="Arial"/>
              </w:rPr>
              <w:t xml:space="preserve"> M</w:t>
            </w:r>
            <w:r w:rsidR="5DB25C7B" w:rsidRPr="1C714817">
              <w:rPr>
                <w:rFonts w:ascii="Arial" w:hAnsi="Arial" w:cs="Arial"/>
              </w:rPr>
              <w:t xml:space="preserve">ember for Business, Culture and </w:t>
            </w:r>
            <w:r w:rsidR="00E444D3">
              <w:rPr>
                <w:rFonts w:ascii="Arial" w:hAnsi="Arial" w:cs="Arial"/>
              </w:rPr>
              <w:t>A</w:t>
            </w:r>
            <w:r w:rsidR="5DB25C7B" w:rsidRPr="1C714817">
              <w:rPr>
                <w:rFonts w:ascii="Arial" w:hAnsi="Arial" w:cs="Arial"/>
              </w:rPr>
              <w:t xml:space="preserve">n </w:t>
            </w:r>
            <w:r w:rsidR="00292638">
              <w:rPr>
                <w:rFonts w:ascii="Arial" w:hAnsi="Arial" w:cs="Arial"/>
              </w:rPr>
              <w:t>I</w:t>
            </w:r>
            <w:r w:rsidR="5DB25C7B" w:rsidRPr="1C714817">
              <w:rPr>
                <w:rFonts w:ascii="Arial" w:hAnsi="Arial" w:cs="Arial"/>
              </w:rPr>
              <w:t xml:space="preserve">nclusive </w:t>
            </w:r>
            <w:r w:rsidR="00292638">
              <w:rPr>
                <w:rFonts w:ascii="Arial" w:hAnsi="Arial" w:cs="Arial"/>
              </w:rPr>
              <w:t>E</w:t>
            </w:r>
            <w:r w:rsidR="5DB25C7B" w:rsidRPr="1C714817">
              <w:rPr>
                <w:rFonts w:ascii="Arial" w:hAnsi="Arial" w:cs="Arial"/>
              </w:rPr>
              <w:t>conomy</w:t>
            </w:r>
          </w:p>
        </w:tc>
        <w:tc>
          <w:tcPr>
            <w:tcW w:w="1984" w:type="dxa"/>
            <w:vAlign w:val="center"/>
          </w:tcPr>
          <w:p w14:paraId="7CCDC326" w14:textId="78AA654F" w:rsidR="005C60B2" w:rsidRPr="005C60B2" w:rsidRDefault="3A099F9E" w:rsidP="005C60B2">
            <w:pPr>
              <w:rPr>
                <w:rFonts w:ascii="Arial" w:hAnsi="Arial" w:cs="Arial"/>
              </w:rPr>
            </w:pPr>
            <w:r w:rsidRPr="47B6217D">
              <w:rPr>
                <w:rFonts w:ascii="Arial" w:hAnsi="Arial" w:cs="Arial"/>
              </w:rPr>
              <w:t>23 July 2024</w:t>
            </w:r>
          </w:p>
        </w:tc>
      </w:tr>
    </w:tbl>
    <w:p w14:paraId="53C6532D" w14:textId="6E60863B" w:rsidR="005C60B2" w:rsidRDefault="005C60B2" w:rsidP="46FF6472">
      <w:pPr>
        <w:ind w:left="-426"/>
        <w:rPr>
          <w:rFonts w:ascii="Arial" w:hAnsi="Arial" w:cs="Arial"/>
        </w:rPr>
      </w:pPr>
    </w:p>
    <w:sectPr w:rsidR="005C60B2" w:rsidSect="00532DF2">
      <w:footerReference w:type="default" r:id="rId12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CAB7" w14:textId="77777777" w:rsidR="00E34A6C" w:rsidRDefault="00E34A6C" w:rsidP="00F11FD1">
      <w:r>
        <w:separator/>
      </w:r>
    </w:p>
  </w:endnote>
  <w:endnote w:type="continuationSeparator" w:id="0">
    <w:p w14:paraId="5E3B3E6A" w14:textId="77777777" w:rsidR="00E34A6C" w:rsidRDefault="00E34A6C" w:rsidP="00F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534E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3284" w14:textId="77777777" w:rsidR="00E34A6C" w:rsidRDefault="00E34A6C" w:rsidP="00F11FD1">
      <w:r>
        <w:separator/>
      </w:r>
    </w:p>
  </w:footnote>
  <w:footnote w:type="continuationSeparator" w:id="0">
    <w:p w14:paraId="6D0AC05A" w14:textId="77777777" w:rsidR="00E34A6C" w:rsidRDefault="00E34A6C" w:rsidP="00F1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18E4"/>
    <w:multiLevelType w:val="multilevel"/>
    <w:tmpl w:val="1F00B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844C23"/>
    <w:multiLevelType w:val="hybridMultilevel"/>
    <w:tmpl w:val="CB88CB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6488">
    <w:abstractNumId w:val="6"/>
  </w:num>
  <w:num w:numId="2" w16cid:durableId="1047215956">
    <w:abstractNumId w:val="0"/>
  </w:num>
  <w:num w:numId="3" w16cid:durableId="1017540660">
    <w:abstractNumId w:val="7"/>
  </w:num>
  <w:num w:numId="4" w16cid:durableId="735664421">
    <w:abstractNumId w:val="1"/>
  </w:num>
  <w:num w:numId="5" w16cid:durableId="2017951212">
    <w:abstractNumId w:val="2"/>
  </w:num>
  <w:num w:numId="6" w16cid:durableId="312755829">
    <w:abstractNumId w:val="5"/>
  </w:num>
  <w:num w:numId="7" w16cid:durableId="1276865883">
    <w:abstractNumId w:val="4"/>
  </w:num>
  <w:num w:numId="8" w16cid:durableId="188081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D4"/>
    <w:rsid w:val="000173BF"/>
    <w:rsid w:val="000445D4"/>
    <w:rsid w:val="0005774E"/>
    <w:rsid w:val="0008133A"/>
    <w:rsid w:val="000B4310"/>
    <w:rsid w:val="000F4239"/>
    <w:rsid w:val="001B4C67"/>
    <w:rsid w:val="001F0B13"/>
    <w:rsid w:val="00231385"/>
    <w:rsid w:val="00235D8E"/>
    <w:rsid w:val="002611EB"/>
    <w:rsid w:val="0026249C"/>
    <w:rsid w:val="00263039"/>
    <w:rsid w:val="00292638"/>
    <w:rsid w:val="002A07C9"/>
    <w:rsid w:val="002B53D4"/>
    <w:rsid w:val="002E61DD"/>
    <w:rsid w:val="003014B3"/>
    <w:rsid w:val="00335A9B"/>
    <w:rsid w:val="003505E0"/>
    <w:rsid w:val="003547CD"/>
    <w:rsid w:val="00373F5D"/>
    <w:rsid w:val="003B1236"/>
    <w:rsid w:val="004000D7"/>
    <w:rsid w:val="0040130D"/>
    <w:rsid w:val="00405321"/>
    <w:rsid w:val="00424A92"/>
    <w:rsid w:val="00462289"/>
    <w:rsid w:val="00463286"/>
    <w:rsid w:val="004A049B"/>
    <w:rsid w:val="004B1944"/>
    <w:rsid w:val="004F1C8F"/>
    <w:rsid w:val="00504E43"/>
    <w:rsid w:val="00532DF2"/>
    <w:rsid w:val="00537467"/>
    <w:rsid w:val="005C60B2"/>
    <w:rsid w:val="005C6416"/>
    <w:rsid w:val="005E37E4"/>
    <w:rsid w:val="006020E4"/>
    <w:rsid w:val="00616F3F"/>
    <w:rsid w:val="006247C4"/>
    <w:rsid w:val="006C187A"/>
    <w:rsid w:val="006F6326"/>
    <w:rsid w:val="006F6731"/>
    <w:rsid w:val="007023AB"/>
    <w:rsid w:val="00750885"/>
    <w:rsid w:val="00757726"/>
    <w:rsid w:val="007908F4"/>
    <w:rsid w:val="007D270E"/>
    <w:rsid w:val="00801BEB"/>
    <w:rsid w:val="00804BF2"/>
    <w:rsid w:val="00832856"/>
    <w:rsid w:val="00834D72"/>
    <w:rsid w:val="00844D21"/>
    <w:rsid w:val="00854133"/>
    <w:rsid w:val="008613FB"/>
    <w:rsid w:val="008676E5"/>
    <w:rsid w:val="008900A7"/>
    <w:rsid w:val="00891B19"/>
    <w:rsid w:val="008A22C6"/>
    <w:rsid w:val="008E4629"/>
    <w:rsid w:val="00901DC8"/>
    <w:rsid w:val="009165ED"/>
    <w:rsid w:val="00960744"/>
    <w:rsid w:val="00986C99"/>
    <w:rsid w:val="009B1AC3"/>
    <w:rsid w:val="009F048F"/>
    <w:rsid w:val="009F6401"/>
    <w:rsid w:val="00A12928"/>
    <w:rsid w:val="00A14FE2"/>
    <w:rsid w:val="00A22296"/>
    <w:rsid w:val="00A253FE"/>
    <w:rsid w:val="00A96C08"/>
    <w:rsid w:val="00AC5899"/>
    <w:rsid w:val="00B15340"/>
    <w:rsid w:val="00B7547A"/>
    <w:rsid w:val="00B87695"/>
    <w:rsid w:val="00B928EF"/>
    <w:rsid w:val="00B97821"/>
    <w:rsid w:val="00BD4490"/>
    <w:rsid w:val="00BE1FD4"/>
    <w:rsid w:val="00BF240D"/>
    <w:rsid w:val="00C07F80"/>
    <w:rsid w:val="00C251F7"/>
    <w:rsid w:val="00C6130E"/>
    <w:rsid w:val="00C678ED"/>
    <w:rsid w:val="00CA097A"/>
    <w:rsid w:val="00CB5E4F"/>
    <w:rsid w:val="00CD4BC9"/>
    <w:rsid w:val="00CE6085"/>
    <w:rsid w:val="00CF55FD"/>
    <w:rsid w:val="00D33F83"/>
    <w:rsid w:val="00D543D9"/>
    <w:rsid w:val="00D913B6"/>
    <w:rsid w:val="00DA7829"/>
    <w:rsid w:val="00DB01D4"/>
    <w:rsid w:val="00DC2E8D"/>
    <w:rsid w:val="00DD1A34"/>
    <w:rsid w:val="00DD4885"/>
    <w:rsid w:val="00DD51B2"/>
    <w:rsid w:val="00E127E3"/>
    <w:rsid w:val="00E2036C"/>
    <w:rsid w:val="00E20A54"/>
    <w:rsid w:val="00E270E5"/>
    <w:rsid w:val="00E34A6C"/>
    <w:rsid w:val="00E444D3"/>
    <w:rsid w:val="00E97024"/>
    <w:rsid w:val="00E97F84"/>
    <w:rsid w:val="00F11FD1"/>
    <w:rsid w:val="00F50587"/>
    <w:rsid w:val="00F64579"/>
    <w:rsid w:val="00FA3081"/>
    <w:rsid w:val="00FD3A85"/>
    <w:rsid w:val="0166F4C4"/>
    <w:rsid w:val="016C5C31"/>
    <w:rsid w:val="01EDF258"/>
    <w:rsid w:val="02DA7ADE"/>
    <w:rsid w:val="0302C525"/>
    <w:rsid w:val="049E9586"/>
    <w:rsid w:val="05B58FAC"/>
    <w:rsid w:val="05DFACF5"/>
    <w:rsid w:val="0608BD46"/>
    <w:rsid w:val="06AB8D0C"/>
    <w:rsid w:val="06EFC848"/>
    <w:rsid w:val="085488BC"/>
    <w:rsid w:val="0923633D"/>
    <w:rsid w:val="093C07BD"/>
    <w:rsid w:val="0A1C6972"/>
    <w:rsid w:val="0C6F53AA"/>
    <w:rsid w:val="0D6903D5"/>
    <w:rsid w:val="0D844201"/>
    <w:rsid w:val="0DEE2EED"/>
    <w:rsid w:val="109712FD"/>
    <w:rsid w:val="1257B324"/>
    <w:rsid w:val="13E8AD58"/>
    <w:rsid w:val="158F53E6"/>
    <w:rsid w:val="18FD6A74"/>
    <w:rsid w:val="1913135B"/>
    <w:rsid w:val="1A18AEAE"/>
    <w:rsid w:val="1AA23A76"/>
    <w:rsid w:val="1B6E83ED"/>
    <w:rsid w:val="1C2EF976"/>
    <w:rsid w:val="1C49B9FE"/>
    <w:rsid w:val="1C714817"/>
    <w:rsid w:val="1EA1CE64"/>
    <w:rsid w:val="2056D01B"/>
    <w:rsid w:val="2268CC94"/>
    <w:rsid w:val="23E15D08"/>
    <w:rsid w:val="2502B4F5"/>
    <w:rsid w:val="257D2D69"/>
    <w:rsid w:val="26B64AAD"/>
    <w:rsid w:val="289B7263"/>
    <w:rsid w:val="28BB8A79"/>
    <w:rsid w:val="29014048"/>
    <w:rsid w:val="293C048D"/>
    <w:rsid w:val="2BFB90D7"/>
    <w:rsid w:val="2C0A247D"/>
    <w:rsid w:val="2C865396"/>
    <w:rsid w:val="2D92B277"/>
    <w:rsid w:val="2F906BF9"/>
    <w:rsid w:val="2FC4801D"/>
    <w:rsid w:val="3178AE92"/>
    <w:rsid w:val="31C80FA0"/>
    <w:rsid w:val="3377FED2"/>
    <w:rsid w:val="3544080D"/>
    <w:rsid w:val="36472073"/>
    <w:rsid w:val="37FA3DAA"/>
    <w:rsid w:val="3952F2CA"/>
    <w:rsid w:val="3A099F9E"/>
    <w:rsid w:val="3AB64DF5"/>
    <w:rsid w:val="3BFA22F9"/>
    <w:rsid w:val="3C1C1154"/>
    <w:rsid w:val="3C1F0994"/>
    <w:rsid w:val="3CE85E60"/>
    <w:rsid w:val="3D7711F6"/>
    <w:rsid w:val="3E3884CB"/>
    <w:rsid w:val="3E88A861"/>
    <w:rsid w:val="3F12E257"/>
    <w:rsid w:val="3FE4910D"/>
    <w:rsid w:val="40933FBC"/>
    <w:rsid w:val="40A572B5"/>
    <w:rsid w:val="41ADD7E5"/>
    <w:rsid w:val="427C333B"/>
    <w:rsid w:val="434DE635"/>
    <w:rsid w:val="4514901D"/>
    <w:rsid w:val="46FF6472"/>
    <w:rsid w:val="471DF43C"/>
    <w:rsid w:val="47B6217D"/>
    <w:rsid w:val="48B9C49D"/>
    <w:rsid w:val="48D95D15"/>
    <w:rsid w:val="4917F29B"/>
    <w:rsid w:val="49AFA38A"/>
    <w:rsid w:val="4CDFC5F3"/>
    <w:rsid w:val="4D8BAE2C"/>
    <w:rsid w:val="4E43BC79"/>
    <w:rsid w:val="4E643C76"/>
    <w:rsid w:val="4F017B27"/>
    <w:rsid w:val="4F8AFF10"/>
    <w:rsid w:val="4FF60873"/>
    <w:rsid w:val="503C9C61"/>
    <w:rsid w:val="506849A2"/>
    <w:rsid w:val="507973B7"/>
    <w:rsid w:val="51068153"/>
    <w:rsid w:val="510E8773"/>
    <w:rsid w:val="519F570D"/>
    <w:rsid w:val="51DB8DA2"/>
    <w:rsid w:val="51DDD1AA"/>
    <w:rsid w:val="53AD286E"/>
    <w:rsid w:val="54441DF3"/>
    <w:rsid w:val="5460DC28"/>
    <w:rsid w:val="573C058C"/>
    <w:rsid w:val="575D3381"/>
    <w:rsid w:val="57F7F646"/>
    <w:rsid w:val="584D132E"/>
    <w:rsid w:val="587725C5"/>
    <w:rsid w:val="58CFAD9E"/>
    <w:rsid w:val="58D7D5ED"/>
    <w:rsid w:val="59356453"/>
    <w:rsid w:val="5A26E778"/>
    <w:rsid w:val="5B09D14F"/>
    <w:rsid w:val="5C32471F"/>
    <w:rsid w:val="5D7938A0"/>
    <w:rsid w:val="5DB25C7B"/>
    <w:rsid w:val="5DFB1EE7"/>
    <w:rsid w:val="5E8A2F53"/>
    <w:rsid w:val="6132BFA9"/>
    <w:rsid w:val="614EC5AC"/>
    <w:rsid w:val="62525D3D"/>
    <w:rsid w:val="62CE900A"/>
    <w:rsid w:val="63A48BFE"/>
    <w:rsid w:val="6490AC48"/>
    <w:rsid w:val="64F0C5B7"/>
    <w:rsid w:val="65277BC3"/>
    <w:rsid w:val="670859ED"/>
    <w:rsid w:val="67A6FB54"/>
    <w:rsid w:val="6821B473"/>
    <w:rsid w:val="688E7A55"/>
    <w:rsid w:val="692EAFA4"/>
    <w:rsid w:val="693DD18E"/>
    <w:rsid w:val="698C7115"/>
    <w:rsid w:val="69C189C0"/>
    <w:rsid w:val="69C63387"/>
    <w:rsid w:val="6A072153"/>
    <w:rsid w:val="6CC2F8D5"/>
    <w:rsid w:val="6D13EA78"/>
    <w:rsid w:val="6DC72C56"/>
    <w:rsid w:val="6E9C0570"/>
    <w:rsid w:val="71AB4656"/>
    <w:rsid w:val="72834125"/>
    <w:rsid w:val="72BC698D"/>
    <w:rsid w:val="72EEC214"/>
    <w:rsid w:val="73AB9976"/>
    <w:rsid w:val="7601645B"/>
    <w:rsid w:val="77C68B25"/>
    <w:rsid w:val="78E008A9"/>
    <w:rsid w:val="791BFAC1"/>
    <w:rsid w:val="7999E747"/>
    <w:rsid w:val="79ACAAC0"/>
    <w:rsid w:val="79DAA3AC"/>
    <w:rsid w:val="7AF7B33F"/>
    <w:rsid w:val="7BD5C38E"/>
    <w:rsid w:val="7C8B284F"/>
    <w:rsid w:val="7D0B3AC6"/>
    <w:rsid w:val="7E050187"/>
    <w:rsid w:val="7E6374C0"/>
    <w:rsid w:val="7EFD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743B"/>
  <w15:docId w15:val="{C350AB86-6A49-4468-AB49-3C38AF4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e703b-287e-4af8-8acc-ce03841772e0">
      <Terms xmlns="http://schemas.microsoft.com/office/infopath/2007/PartnerControls"/>
    </lcf76f155ced4ddcb4097134ff3c332f>
    <TaxCatchAll xmlns="3ec494fa-405f-46de-9d1f-e8cce49882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C25D40E255845ACB6D2B0CC5299A3" ma:contentTypeVersion="15" ma:contentTypeDescription="Create a new document." ma:contentTypeScope="" ma:versionID="76775d17cb043a3d13da49c8af1414f8">
  <xsd:schema xmlns:xsd="http://www.w3.org/2001/XMLSchema" xmlns:xs="http://www.w3.org/2001/XMLSchema" xmlns:p="http://schemas.microsoft.com/office/2006/metadata/properties" xmlns:ns2="f56e703b-287e-4af8-8acc-ce03841772e0" xmlns:ns3="3ec494fa-405f-46de-9d1f-e8cce49882a1" targetNamespace="http://schemas.microsoft.com/office/2006/metadata/properties" ma:root="true" ma:fieldsID="b7d49fb25f7c0f5d19358dd82846c288" ns2:_="" ns3:_="">
    <xsd:import namespace="f56e703b-287e-4af8-8acc-ce03841772e0"/>
    <xsd:import namespace="3ec494fa-405f-46de-9d1f-e8cce498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e703b-287e-4af8-8acc-ce0384177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94fa-405f-46de-9d1f-e8cce498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203b57-401c-451a-9208-9bc99a462945}" ma:internalName="TaxCatchAll" ma:showField="CatchAllData" ma:web="3ec494fa-405f-46de-9d1f-e8cce4988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0C2FA-3708-48F5-AC87-BD0772975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79720-2F8C-4E77-A68A-BC7E71FC737B}">
  <ds:schemaRefs>
    <ds:schemaRef ds:uri="http://schemas.microsoft.com/office/2006/metadata/properties"/>
    <ds:schemaRef ds:uri="http://schemas.microsoft.com/office/infopath/2007/PartnerControls"/>
    <ds:schemaRef ds:uri="f56e703b-287e-4af8-8acc-ce03841772e0"/>
    <ds:schemaRef ds:uri="3ec494fa-405f-46de-9d1f-e8cce49882a1"/>
  </ds:schemaRefs>
</ds:datastoreItem>
</file>

<file path=customXml/itemProps3.xml><?xml version="1.0" encoding="utf-8"?>
<ds:datastoreItem xmlns:ds="http://schemas.openxmlformats.org/officeDocument/2006/customXml" ds:itemID="{A0B1E889-E520-4ED7-8716-0695BDD653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63E6A7-53CC-4553-9F98-EB9BDCA73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e703b-287e-4af8-8acc-ce03841772e0"/>
    <ds:schemaRef ds:uri="3ec494fa-405f-46de-9d1f-e8cce498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Sarah.Claridge</dc:creator>
  <cp:lastModifiedBy>LUND Emma</cp:lastModifiedBy>
  <cp:revision>8</cp:revision>
  <cp:lastPrinted>2015-07-27T09:35:00Z</cp:lastPrinted>
  <dcterms:created xsi:type="dcterms:W3CDTF">2024-07-23T12:24:00Z</dcterms:created>
  <dcterms:modified xsi:type="dcterms:W3CDTF">2024-07-24T08:15:00Z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0x0101008B0C25D40E255845ACB6D2B0CC5299A3</vt:lpwstr>
  </property>
</Properties>
</file>